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49"/>
        <w:gridCol w:w="4649"/>
        <w:gridCol w:w="4650"/>
      </w:tblGrid>
      <w:tr w:rsidR="001E7796" w:rsidTr="001E7796">
        <w:tc>
          <w:tcPr>
            <w:tcW w:w="4649" w:type="dxa"/>
          </w:tcPr>
          <w:p w:rsidR="001E7796" w:rsidRPr="001E7796" w:rsidRDefault="001E7796" w:rsidP="001E7796">
            <w:pPr>
              <w:pStyle w:val="Default"/>
              <w:jc w:val="center"/>
              <w:rPr>
                <w:b/>
                <w:color w:val="auto"/>
                <w:lang w:val="sq-AL"/>
              </w:rPr>
            </w:pPr>
            <w:r w:rsidRPr="00C403CF">
              <w:rPr>
                <w:b/>
                <w:color w:val="auto"/>
                <w:lang w:val="sq-AL"/>
              </w:rPr>
              <w:t>Përmbledhje e Karakteristikave të Produktit (PKP)</w:t>
            </w:r>
            <w:r w:rsidRPr="00C403CF">
              <w:rPr>
                <w:b/>
                <w:color w:val="auto"/>
                <w:lang w:val="sq-AL"/>
              </w:rPr>
              <w:br/>
            </w:r>
          </w:p>
          <w:p w:rsidR="001E7796" w:rsidRDefault="001E7796" w:rsidP="001E7796">
            <w:p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Përmbledhja e karakteristikave të produktit do të përmbajë, sipas rendit më poshtë, informatat në vijim:</w:t>
            </w:r>
          </w:p>
          <w:p w:rsidR="001E7796" w:rsidRPr="00C403CF" w:rsidRDefault="001E7796" w:rsidP="001E7796">
            <w:pPr>
              <w:spacing w:after="0" w:line="240" w:lineRule="auto"/>
              <w:jc w:val="both"/>
              <w:rPr>
                <w:rFonts w:ascii="Times New Roman" w:hAnsi="Times New Roman"/>
                <w:sz w:val="24"/>
                <w:szCs w:val="24"/>
                <w:lang w:val="sq-AL"/>
              </w:rPr>
            </w:pPr>
          </w:p>
          <w:p w:rsidR="001E7796" w:rsidRDefault="001E7796" w:rsidP="001E7796">
            <w:pPr>
              <w:pStyle w:val="ListParagraph"/>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Emri i produktit medicinal i pasuar me fortësinë dhe formën farmaceutike.</w:t>
            </w:r>
          </w:p>
          <w:p w:rsidR="001E7796" w:rsidRDefault="001E7796" w:rsidP="001E7796">
            <w:pPr>
              <w:pStyle w:val="ListParagraph"/>
              <w:spacing w:after="0" w:line="240" w:lineRule="auto"/>
              <w:ind w:left="360"/>
              <w:jc w:val="both"/>
              <w:rPr>
                <w:rFonts w:ascii="Times New Roman" w:hAnsi="Times New Roman"/>
                <w:sz w:val="24"/>
                <w:szCs w:val="24"/>
                <w:lang w:val="sq-AL"/>
              </w:rPr>
            </w:pPr>
          </w:p>
          <w:p w:rsidR="001E7796" w:rsidRPr="001E7796" w:rsidRDefault="001E7796" w:rsidP="001E7796">
            <w:pPr>
              <w:pStyle w:val="ListParagraph"/>
              <w:numPr>
                <w:ilvl w:val="0"/>
                <w:numId w:val="1"/>
              </w:numPr>
              <w:spacing w:after="0" w:line="240" w:lineRule="auto"/>
              <w:jc w:val="both"/>
              <w:rPr>
                <w:rFonts w:ascii="Times New Roman" w:hAnsi="Times New Roman"/>
                <w:sz w:val="24"/>
                <w:szCs w:val="24"/>
                <w:lang w:val="sq-AL"/>
              </w:rPr>
            </w:pPr>
            <w:r w:rsidRPr="001E7796">
              <w:rPr>
                <w:rFonts w:ascii="Times New Roman" w:hAnsi="Times New Roman"/>
                <w:sz w:val="24"/>
                <w:szCs w:val="24"/>
                <w:lang w:val="sq-AL"/>
              </w:rPr>
              <w:t>Përbërja cilësore dhe sasiore sa i përket substancave aktive dhe përbërësve të ekscipientit, njohuria e të cilave është qenësore për administrim të duhur të produktit medicinal. Duhet të përdoret emri i përgjithshëm ose përbërja kimike.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Forma farmaceutike.</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Veçoritë klinike: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indikacionet terapeutike,</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dozimi dhe metoda e administrimit për të rritur dhe ku është e nevojshme edhe për fëmijë,</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kundërindikacionet,</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 xml:space="preserve">paralajmërime të veçanta dhe masat paraprake për përdorim, në rastin e produkteve imunologjike medicinale, </w:t>
            </w:r>
            <w:r w:rsidRPr="00C403CF">
              <w:rPr>
                <w:rFonts w:ascii="Times New Roman" w:hAnsi="Times New Roman"/>
                <w:sz w:val="24"/>
                <w:szCs w:val="24"/>
                <w:lang w:val="sq-AL"/>
              </w:rPr>
              <w:lastRenderedPageBreak/>
              <w:t>çdo masë paraprake që duhet të ndërmerret nga personat që trajtojnë apo administrojnë produktet e tilla në pacientë, së bashku me ndonjë masë paraprake që duhet të ndërmerret nga pacienti,</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ndërveprimi me produktet tjera medicinale dhe format tjera të ndërveprimeve,</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shtatzënia dhe ushqyerja me gji,</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efektet mbi aftësinë për të drejtuar automjetin dhe përdorimin e makinerive,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efektet anësore,</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mbidozimi.</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Vetitë farmakologjike:</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vetitë farmakodinamike,</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vetitë farmakokinetike,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të dhënatparaklinike të sigurisë.</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Veçoritë farmaceutike:</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lista e ekscipientëve,</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papajtueshmëritë e mëdha,</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afati i përdorimit, pas rikonstituim të produktit medicinal apo kur paketimi fillestar është hapur për herë të parë,</w:t>
            </w:r>
          </w:p>
          <w:p w:rsidR="001E7796"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masat e veçanta për ruajtje,</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natyra dhe përmbajtja e kontejnerit,</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masat paraprake të veçanta për asgjësimin e produktit të përdorur medicinal apo hedhurinave që derivojnë nga produkti i tillë medicinal, nëse është e zbatueshme.</w:t>
            </w:r>
            <w:r w:rsidRPr="00C403CF">
              <w:rPr>
                <w:rFonts w:ascii="Times New Roman" w:hAnsi="Times New Roman"/>
                <w:sz w:val="24"/>
                <w:szCs w:val="24"/>
                <w:lang w:val="sq-AL"/>
              </w:rPr>
              <w:br/>
            </w: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Bartësi i autorizimit të marketingut.</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numri</w:t>
            </w:r>
            <w:r w:rsidRPr="00C403CF">
              <w:rPr>
                <w:rFonts w:ascii="Times New Roman" w:hAnsi="Times New Roman"/>
                <w:sz w:val="24"/>
                <w:szCs w:val="24"/>
              </w:rPr>
              <w:t>/</w:t>
            </w:r>
            <w:r w:rsidRPr="00C403CF">
              <w:rPr>
                <w:rFonts w:ascii="Times New Roman" w:hAnsi="Times New Roman"/>
                <w:sz w:val="24"/>
                <w:szCs w:val="24"/>
                <w:lang w:val="sq-AL"/>
              </w:rPr>
              <w:t>at e autorizimit të marketingut.</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data e autorizimit të parë ose ripërtritjes së autorizimit.</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data e revidimit të tekstit.</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për radiofarmaceutikët, hollësitë e plota të dozimetrisë së brendshme të rrezatimit.</w:t>
            </w:r>
          </w:p>
          <w:p w:rsidR="001E7796" w:rsidRPr="00C403CF" w:rsidRDefault="001E7796" w:rsidP="001E7796">
            <w:pPr>
              <w:spacing w:after="0" w:line="240" w:lineRule="auto"/>
              <w:jc w:val="both"/>
              <w:rPr>
                <w:rFonts w:ascii="Times New Roman" w:hAnsi="Times New Roman"/>
                <w:sz w:val="24"/>
                <w:szCs w:val="24"/>
                <w:lang w:val="sq-AL"/>
              </w:rPr>
            </w:pPr>
          </w:p>
          <w:p w:rsidR="001E7796" w:rsidRPr="001E7796" w:rsidRDefault="001E7796" w:rsidP="001E7796">
            <w:pPr>
              <w:numPr>
                <w:ilvl w:val="0"/>
                <w:numId w:val="1"/>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 xml:space="preserve">për radiofarmaceutikët, udhëzimet shtesë të detajuara për preparatin e improvizuar </w:t>
            </w:r>
            <w:r w:rsidRPr="00C403CF">
              <w:rPr>
                <w:rFonts w:ascii="Times New Roman" w:hAnsi="Times New Roman"/>
                <w:sz w:val="24"/>
                <w:szCs w:val="24"/>
                <w:lang w:val="sq-AL"/>
              </w:rPr>
              <w:lastRenderedPageBreak/>
              <w:t xml:space="preserve">dhe kontroll të kualitetit të këtij preparati dhe kur është e përshtatshme, të ofrohet kohë maksimale e ruajtjes, gjatë së cilës kohë çfarëdo preparati i ndërmjetëm siç është tretësira apo farmaceutikët e gatshëm të jenë në pajtueshmëri me specifikimet e tij. </w:t>
            </w:r>
            <w:bookmarkStart w:id="0" w:name="_GoBack"/>
            <w:bookmarkEnd w:id="0"/>
          </w:p>
        </w:tc>
        <w:tc>
          <w:tcPr>
            <w:tcW w:w="4649" w:type="dxa"/>
          </w:tcPr>
          <w:p w:rsidR="001E7796" w:rsidRDefault="001E7796" w:rsidP="001E7796">
            <w:pPr>
              <w:spacing w:after="0" w:line="240" w:lineRule="auto"/>
              <w:jc w:val="both"/>
              <w:rPr>
                <w:rFonts w:ascii="Times New Roman" w:hAnsi="Times New Roman"/>
                <w:color w:val="000000" w:themeColor="text1"/>
                <w:sz w:val="24"/>
                <w:szCs w:val="24"/>
              </w:rPr>
            </w:pPr>
            <w:r w:rsidRPr="00C403CF">
              <w:rPr>
                <w:rFonts w:ascii="Times New Roman" w:hAnsi="Times New Roman"/>
                <w:b/>
                <w:sz w:val="24"/>
                <w:szCs w:val="24"/>
              </w:rPr>
              <w:lastRenderedPageBreak/>
              <w:t>Summary of Product Characteristics (</w:t>
            </w:r>
            <w:r>
              <w:rPr>
                <w:rFonts w:ascii="Times New Roman" w:hAnsi="Times New Roman"/>
                <w:b/>
                <w:sz w:val="24"/>
                <w:szCs w:val="24"/>
              </w:rPr>
              <w:t>SPC</w:t>
            </w:r>
            <w:r w:rsidRPr="00C403CF">
              <w:rPr>
                <w:rFonts w:ascii="Times New Roman" w:hAnsi="Times New Roman"/>
                <w:b/>
                <w:sz w:val="24"/>
                <w:szCs w:val="24"/>
              </w:rPr>
              <w:t>)</w:t>
            </w:r>
          </w:p>
          <w:p w:rsidR="001E7796" w:rsidRDefault="001E7796" w:rsidP="001E7796">
            <w:pPr>
              <w:spacing w:after="0" w:line="240" w:lineRule="auto"/>
              <w:jc w:val="both"/>
              <w:rPr>
                <w:rFonts w:ascii="Times New Roman" w:hAnsi="Times New Roman"/>
                <w:color w:val="000000" w:themeColor="text1"/>
                <w:sz w:val="24"/>
                <w:szCs w:val="24"/>
              </w:rPr>
            </w:pPr>
          </w:p>
          <w:p w:rsidR="001E7796" w:rsidRPr="00C403CF" w:rsidRDefault="001E7796" w:rsidP="001E7796">
            <w:pPr>
              <w:spacing w:after="0" w:line="240" w:lineRule="auto"/>
              <w:jc w:val="both"/>
              <w:rPr>
                <w:rFonts w:ascii="Times New Roman" w:hAnsi="Times New Roman"/>
                <w:color w:val="FF0000"/>
                <w:sz w:val="24"/>
                <w:szCs w:val="24"/>
              </w:rPr>
            </w:pPr>
          </w:p>
          <w:p w:rsidR="001E7796" w:rsidRDefault="001E7796" w:rsidP="001E7796">
            <w:pPr>
              <w:spacing w:after="0" w:line="240" w:lineRule="auto"/>
              <w:jc w:val="both"/>
              <w:rPr>
                <w:rFonts w:ascii="Times New Roman" w:hAnsi="Times New Roman"/>
                <w:sz w:val="24"/>
                <w:szCs w:val="24"/>
              </w:rPr>
            </w:pPr>
            <w:r w:rsidRPr="00C403CF">
              <w:rPr>
                <w:rFonts w:ascii="Times New Roman" w:hAnsi="Times New Roman"/>
                <w:sz w:val="24"/>
                <w:szCs w:val="24"/>
              </w:rPr>
              <w:t>Summary of product characteristics shall contain, in the order below</w:t>
            </w:r>
            <w:r>
              <w:rPr>
                <w:rFonts w:ascii="Times New Roman" w:hAnsi="Times New Roman"/>
                <w:sz w:val="24"/>
                <w:szCs w:val="24"/>
              </w:rPr>
              <w:t xml:space="preserve">, the following information: </w:t>
            </w:r>
          </w:p>
          <w:p w:rsidR="001E7796" w:rsidRDefault="001E7796" w:rsidP="001E7796">
            <w:pPr>
              <w:spacing w:after="0" w:line="240" w:lineRule="auto"/>
              <w:jc w:val="both"/>
              <w:rPr>
                <w:rFonts w:ascii="Times New Roman" w:hAnsi="Times New Roman"/>
                <w:sz w:val="24"/>
                <w:szCs w:val="24"/>
              </w:rPr>
            </w:pPr>
          </w:p>
          <w:p w:rsidR="001E7796" w:rsidRDefault="001E7796" w:rsidP="001E7796">
            <w:pPr>
              <w:pStyle w:val="ListParagraph"/>
              <w:numPr>
                <w:ilvl w:val="0"/>
                <w:numId w:val="10"/>
              </w:numPr>
              <w:spacing w:after="0" w:line="240" w:lineRule="auto"/>
              <w:jc w:val="both"/>
              <w:rPr>
                <w:rFonts w:ascii="Times New Roman" w:hAnsi="Times New Roman"/>
                <w:sz w:val="24"/>
                <w:szCs w:val="24"/>
              </w:rPr>
            </w:pPr>
            <w:r w:rsidRPr="001E7796">
              <w:rPr>
                <w:rFonts w:ascii="Times New Roman" w:hAnsi="Times New Roman"/>
                <w:sz w:val="24"/>
                <w:szCs w:val="24"/>
              </w:rPr>
              <w:t>Name of the medicinal product followed by the strength and pharmaceutical form.</w:t>
            </w:r>
          </w:p>
          <w:p w:rsidR="001E7796" w:rsidRDefault="001E7796" w:rsidP="001E7796">
            <w:pPr>
              <w:pStyle w:val="ListParagraph"/>
              <w:spacing w:after="0" w:line="240" w:lineRule="auto"/>
              <w:ind w:left="360"/>
              <w:jc w:val="both"/>
              <w:rPr>
                <w:rFonts w:ascii="Times New Roman" w:hAnsi="Times New Roman"/>
                <w:sz w:val="24"/>
                <w:szCs w:val="24"/>
              </w:rPr>
            </w:pPr>
          </w:p>
          <w:p w:rsidR="001E7796" w:rsidRPr="001E7796" w:rsidRDefault="001E7796" w:rsidP="001E7796">
            <w:pPr>
              <w:pStyle w:val="ListParagraph"/>
              <w:numPr>
                <w:ilvl w:val="0"/>
                <w:numId w:val="10"/>
              </w:numPr>
              <w:spacing w:after="0" w:line="240" w:lineRule="auto"/>
              <w:jc w:val="both"/>
              <w:rPr>
                <w:rFonts w:ascii="Times New Roman" w:hAnsi="Times New Roman"/>
                <w:sz w:val="24"/>
                <w:szCs w:val="24"/>
              </w:rPr>
            </w:pPr>
            <w:r w:rsidRPr="001E7796">
              <w:rPr>
                <w:rFonts w:ascii="Times New Roman" w:hAnsi="Times New Roman"/>
                <w:sz w:val="24"/>
                <w:szCs w:val="24"/>
              </w:rPr>
              <w:t>Qualitative and quantitative composition in terms of active substances and ingredients excipients, knowledge of which is essential for proper administration of the medicinal product. The usual common name or chemical description shall be used.</w:t>
            </w:r>
          </w:p>
          <w:p w:rsidR="001E7796" w:rsidRDefault="001E7796" w:rsidP="001E7796">
            <w:pPr>
              <w:pStyle w:val="ListParagraph"/>
              <w:numPr>
                <w:ilvl w:val="0"/>
                <w:numId w:val="10"/>
              </w:numPr>
              <w:spacing w:after="0" w:line="240" w:lineRule="auto"/>
              <w:jc w:val="both"/>
              <w:rPr>
                <w:rFonts w:ascii="Times New Roman" w:hAnsi="Times New Roman"/>
                <w:sz w:val="24"/>
                <w:szCs w:val="24"/>
              </w:rPr>
            </w:pPr>
            <w:r w:rsidRPr="001E7796">
              <w:rPr>
                <w:rFonts w:ascii="Times New Roman" w:hAnsi="Times New Roman"/>
                <w:sz w:val="24"/>
                <w:szCs w:val="24"/>
              </w:rPr>
              <w:t>Pharmaceutical forms.</w:t>
            </w:r>
          </w:p>
          <w:p w:rsidR="001E7796" w:rsidRDefault="001E7796" w:rsidP="001E7796">
            <w:pPr>
              <w:pStyle w:val="ListParagraph"/>
              <w:spacing w:after="0" w:line="240" w:lineRule="auto"/>
              <w:ind w:left="360"/>
              <w:jc w:val="both"/>
              <w:rPr>
                <w:rFonts w:ascii="Times New Roman" w:hAnsi="Times New Roman"/>
                <w:sz w:val="24"/>
                <w:szCs w:val="24"/>
              </w:rPr>
            </w:pPr>
          </w:p>
          <w:p w:rsidR="001E7796" w:rsidRPr="001E7796" w:rsidRDefault="001E7796" w:rsidP="001E7796">
            <w:pPr>
              <w:pStyle w:val="ListParagraph"/>
              <w:numPr>
                <w:ilvl w:val="0"/>
                <w:numId w:val="10"/>
              </w:numPr>
              <w:spacing w:after="0" w:line="240" w:lineRule="auto"/>
              <w:jc w:val="both"/>
              <w:rPr>
                <w:rFonts w:ascii="Times New Roman" w:hAnsi="Times New Roman"/>
                <w:sz w:val="24"/>
                <w:szCs w:val="24"/>
              </w:rPr>
            </w:pPr>
            <w:r w:rsidRPr="001E7796">
              <w:rPr>
                <w:rFonts w:ascii="Times New Roman" w:hAnsi="Times New Roman"/>
                <w:sz w:val="24"/>
                <w:szCs w:val="24"/>
              </w:rPr>
              <w:t>Clinical properties:</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0"/>
                <w:numId w:val="3"/>
              </w:numPr>
              <w:spacing w:after="0" w:line="240" w:lineRule="auto"/>
              <w:jc w:val="both"/>
              <w:rPr>
                <w:rFonts w:ascii="Times New Roman" w:hAnsi="Times New Roman"/>
                <w:vanish/>
                <w:sz w:val="24"/>
                <w:szCs w:val="24"/>
              </w:rPr>
            </w:pPr>
          </w:p>
          <w:p w:rsidR="001E7796" w:rsidRPr="00C403CF" w:rsidRDefault="001E7796" w:rsidP="001E7796">
            <w:pPr>
              <w:pStyle w:val="ListParagraph"/>
              <w:numPr>
                <w:ilvl w:val="0"/>
                <w:numId w:val="3"/>
              </w:numPr>
              <w:spacing w:after="0" w:line="240" w:lineRule="auto"/>
              <w:jc w:val="both"/>
              <w:rPr>
                <w:rFonts w:ascii="Times New Roman" w:hAnsi="Times New Roman"/>
                <w:vanish/>
                <w:sz w:val="24"/>
                <w:szCs w:val="24"/>
              </w:rPr>
            </w:pPr>
          </w:p>
          <w:p w:rsidR="001E7796" w:rsidRPr="00C403CF" w:rsidRDefault="001E7796" w:rsidP="001E7796">
            <w:pPr>
              <w:pStyle w:val="ListParagraph"/>
              <w:numPr>
                <w:ilvl w:val="0"/>
                <w:numId w:val="3"/>
              </w:numPr>
              <w:spacing w:after="0" w:line="240" w:lineRule="auto"/>
              <w:jc w:val="both"/>
              <w:rPr>
                <w:rFonts w:ascii="Times New Roman" w:hAnsi="Times New Roman"/>
                <w:vanish/>
                <w:sz w:val="24"/>
                <w:szCs w:val="24"/>
              </w:rPr>
            </w:pPr>
          </w:p>
          <w:p w:rsidR="001E7796" w:rsidRPr="00C403CF" w:rsidRDefault="001E7796" w:rsidP="001E7796">
            <w:pPr>
              <w:pStyle w:val="ListParagraph"/>
              <w:numPr>
                <w:ilvl w:val="0"/>
                <w:numId w:val="3"/>
              </w:numPr>
              <w:spacing w:after="0" w:line="240" w:lineRule="auto"/>
              <w:jc w:val="both"/>
              <w:rPr>
                <w:rFonts w:ascii="Times New Roman" w:hAnsi="Times New Roman"/>
                <w:vanish/>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therapeutic indications,</w:t>
            </w:r>
          </w:p>
          <w:p w:rsidR="001E7796" w:rsidRPr="00C403CF" w:rsidRDefault="001E7796" w:rsidP="001E7796">
            <w:pPr>
              <w:pStyle w:val="ListParagraph"/>
              <w:spacing w:after="0" w:line="240" w:lineRule="auto"/>
              <w:ind w:left="890"/>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 xml:space="preserve">posology and method of administration for adults and, </w:t>
            </w:r>
            <w:proofErr w:type="spellStart"/>
            <w:r w:rsidRPr="00C403CF">
              <w:rPr>
                <w:rFonts w:ascii="Times New Roman" w:hAnsi="Times New Roman"/>
                <w:sz w:val="24"/>
                <w:szCs w:val="24"/>
              </w:rPr>
              <w:t>wherenecessary</w:t>
            </w:r>
            <w:proofErr w:type="spellEnd"/>
            <w:r w:rsidRPr="00C403CF">
              <w:rPr>
                <w:rFonts w:ascii="Times New Roman" w:hAnsi="Times New Roman"/>
                <w:sz w:val="24"/>
                <w:szCs w:val="24"/>
              </w:rPr>
              <w:t xml:space="preserve"> for children,</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contra-indications,</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 xml:space="preserve">special warnings and precautions for use and, in the case of immunological medicinal products, any special </w:t>
            </w:r>
            <w:r w:rsidRPr="00C403CF">
              <w:rPr>
                <w:rFonts w:ascii="Times New Roman" w:hAnsi="Times New Roman"/>
                <w:sz w:val="24"/>
                <w:szCs w:val="24"/>
              </w:rPr>
              <w:lastRenderedPageBreak/>
              <w:t>precautions to be taken by persons handling such products and administering them to patients, together with any precautions to be taken by the patient,</w:t>
            </w:r>
          </w:p>
          <w:p w:rsidR="001E7796" w:rsidRPr="00C403CF" w:rsidRDefault="001E7796" w:rsidP="001E7796">
            <w:pPr>
              <w:spacing w:after="0" w:line="240" w:lineRule="auto"/>
              <w:ind w:left="890" w:hanging="462"/>
              <w:jc w:val="both"/>
              <w:rPr>
                <w:rFonts w:ascii="Times New Roman" w:hAnsi="Times New Roman"/>
                <w:sz w:val="24"/>
                <w:szCs w:val="24"/>
              </w:rPr>
            </w:pPr>
          </w:p>
          <w:p w:rsidR="001E7796" w:rsidRPr="00C403CF" w:rsidRDefault="001E7796" w:rsidP="001E7796">
            <w:pPr>
              <w:spacing w:after="0" w:line="240" w:lineRule="auto"/>
              <w:ind w:left="890" w:hanging="462"/>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interaction with other medicinal products and other forms of interactions,</w:t>
            </w:r>
          </w:p>
          <w:p w:rsidR="001E7796" w:rsidRPr="00C403CF" w:rsidRDefault="001E7796" w:rsidP="001E7796">
            <w:pPr>
              <w:spacing w:after="0" w:line="240" w:lineRule="auto"/>
              <w:ind w:left="890" w:hanging="462"/>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pregnancy and lactation,</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effects on ability to drive and to use machines,</w:t>
            </w:r>
          </w:p>
          <w:p w:rsidR="001E7796" w:rsidRPr="00C403CF" w:rsidRDefault="001E7796" w:rsidP="001E7796">
            <w:pPr>
              <w:spacing w:after="0" w:line="240" w:lineRule="auto"/>
              <w:ind w:left="890" w:hanging="462"/>
              <w:jc w:val="both"/>
              <w:rPr>
                <w:rFonts w:ascii="Times New Roman" w:hAnsi="Times New Roman"/>
                <w:sz w:val="24"/>
                <w:szCs w:val="24"/>
              </w:rPr>
            </w:pPr>
          </w:p>
          <w:p w:rsidR="001E7796" w:rsidRPr="00C403CF" w:rsidRDefault="001E7796" w:rsidP="001E7796">
            <w:pPr>
              <w:spacing w:after="0" w:line="240" w:lineRule="auto"/>
              <w:ind w:left="890" w:hanging="462"/>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r w:rsidRPr="00C403CF">
              <w:rPr>
                <w:rFonts w:ascii="Times New Roman" w:hAnsi="Times New Roman"/>
                <w:sz w:val="24"/>
                <w:szCs w:val="24"/>
              </w:rPr>
              <w:t>side effects,</w:t>
            </w:r>
          </w:p>
          <w:p w:rsidR="001E7796" w:rsidRPr="00C403CF" w:rsidRDefault="001E7796" w:rsidP="001E7796">
            <w:pPr>
              <w:pStyle w:val="ListParagraph"/>
              <w:spacing w:after="0" w:line="240" w:lineRule="auto"/>
              <w:ind w:left="890"/>
              <w:jc w:val="both"/>
              <w:rPr>
                <w:rFonts w:ascii="Times New Roman" w:hAnsi="Times New Roman"/>
                <w:sz w:val="24"/>
                <w:szCs w:val="24"/>
              </w:rPr>
            </w:pPr>
          </w:p>
          <w:p w:rsidR="001E7796" w:rsidRPr="00C403CF" w:rsidRDefault="001E7796" w:rsidP="001E7796">
            <w:pPr>
              <w:pStyle w:val="ListParagraph"/>
              <w:numPr>
                <w:ilvl w:val="1"/>
                <w:numId w:val="3"/>
              </w:numPr>
              <w:spacing w:after="0" w:line="240" w:lineRule="auto"/>
              <w:ind w:left="890" w:hanging="462"/>
              <w:jc w:val="both"/>
              <w:rPr>
                <w:rFonts w:ascii="Times New Roman" w:hAnsi="Times New Roman"/>
                <w:sz w:val="24"/>
                <w:szCs w:val="24"/>
              </w:rPr>
            </w:pPr>
            <w:proofErr w:type="gramStart"/>
            <w:r w:rsidRPr="00C403CF">
              <w:rPr>
                <w:rFonts w:ascii="Times New Roman" w:hAnsi="Times New Roman"/>
                <w:sz w:val="24"/>
                <w:szCs w:val="24"/>
              </w:rPr>
              <w:t>overdose</w:t>
            </w:r>
            <w:proofErr w:type="gramEnd"/>
            <w:r w:rsidRPr="00C403CF">
              <w:rPr>
                <w:rFonts w:ascii="Times New Roman" w:hAnsi="Times New Roman"/>
                <w:sz w:val="24"/>
                <w:szCs w:val="24"/>
              </w:rPr>
              <w:t>.</w:t>
            </w:r>
          </w:p>
          <w:p w:rsidR="001E7796" w:rsidRPr="00C403CF" w:rsidRDefault="001E7796" w:rsidP="001E7796">
            <w:pPr>
              <w:spacing w:after="0" w:line="240" w:lineRule="auto"/>
              <w:ind w:left="792"/>
              <w:jc w:val="both"/>
              <w:rPr>
                <w:rFonts w:ascii="Times New Roman" w:hAnsi="Times New Roman"/>
                <w:sz w:val="24"/>
                <w:szCs w:val="24"/>
              </w:rPr>
            </w:pPr>
          </w:p>
          <w:p w:rsidR="001E7796" w:rsidRPr="00C403CF" w:rsidRDefault="001E7796" w:rsidP="001E7796">
            <w:pPr>
              <w:pStyle w:val="ListParagraph"/>
              <w:numPr>
                <w:ilvl w:val="0"/>
                <w:numId w:val="4"/>
              </w:numPr>
              <w:spacing w:after="0" w:line="240" w:lineRule="auto"/>
              <w:ind w:left="430"/>
              <w:jc w:val="both"/>
              <w:rPr>
                <w:rFonts w:ascii="Times New Roman" w:hAnsi="Times New Roman"/>
                <w:sz w:val="24"/>
                <w:szCs w:val="24"/>
              </w:rPr>
            </w:pPr>
            <w:r w:rsidRPr="00C403CF">
              <w:rPr>
                <w:rFonts w:ascii="Times New Roman" w:hAnsi="Times New Roman"/>
                <w:sz w:val="24"/>
                <w:szCs w:val="24"/>
              </w:rPr>
              <w:t>Pharmacological properties:</w:t>
            </w:r>
          </w:p>
          <w:p w:rsidR="001E7796" w:rsidRPr="00C403CF" w:rsidRDefault="001E7796" w:rsidP="001E7796">
            <w:pPr>
              <w:pStyle w:val="ListParagraph"/>
              <w:spacing w:after="0" w:line="240" w:lineRule="auto"/>
              <w:ind w:left="430"/>
              <w:jc w:val="both"/>
              <w:rPr>
                <w:rFonts w:ascii="Times New Roman" w:hAnsi="Times New Roman"/>
                <w:sz w:val="24"/>
                <w:szCs w:val="24"/>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numPr>
                <w:ilvl w:val="1"/>
                <w:numId w:val="5"/>
              </w:numPr>
              <w:tabs>
                <w:tab w:val="clear" w:pos="792"/>
              </w:tabs>
              <w:spacing w:after="0" w:line="240" w:lineRule="auto"/>
              <w:ind w:left="862" w:hanging="434"/>
              <w:jc w:val="both"/>
              <w:rPr>
                <w:rFonts w:ascii="Times New Roman" w:hAnsi="Times New Roman"/>
                <w:sz w:val="24"/>
                <w:szCs w:val="24"/>
                <w:lang w:val="sq-AL"/>
              </w:rPr>
            </w:pPr>
            <w:r w:rsidRPr="00C403CF">
              <w:rPr>
                <w:rFonts w:ascii="Times New Roman" w:hAnsi="Times New Roman"/>
                <w:sz w:val="24"/>
                <w:szCs w:val="24"/>
                <w:lang w:val="sq-AL"/>
              </w:rPr>
              <w:t>pharmacodynamic properties,</w:t>
            </w:r>
          </w:p>
          <w:p w:rsidR="001E7796" w:rsidRPr="00C403CF" w:rsidRDefault="001E7796" w:rsidP="001E7796">
            <w:pPr>
              <w:spacing w:after="0" w:line="240" w:lineRule="auto"/>
              <w:ind w:left="862"/>
              <w:jc w:val="both"/>
              <w:rPr>
                <w:rFonts w:ascii="Times New Roman" w:hAnsi="Times New Roman"/>
                <w:sz w:val="24"/>
                <w:szCs w:val="24"/>
                <w:lang w:val="sq-AL"/>
              </w:rPr>
            </w:pPr>
          </w:p>
          <w:p w:rsidR="001E7796" w:rsidRPr="00C403CF" w:rsidRDefault="001E7796" w:rsidP="001E7796">
            <w:pPr>
              <w:numPr>
                <w:ilvl w:val="1"/>
                <w:numId w:val="5"/>
              </w:numPr>
              <w:tabs>
                <w:tab w:val="clear" w:pos="792"/>
              </w:tabs>
              <w:spacing w:after="0" w:line="240" w:lineRule="auto"/>
              <w:ind w:left="862" w:hanging="434"/>
              <w:jc w:val="both"/>
              <w:rPr>
                <w:rFonts w:ascii="Times New Roman" w:hAnsi="Times New Roman"/>
                <w:sz w:val="24"/>
                <w:szCs w:val="24"/>
              </w:rPr>
            </w:pPr>
            <w:r w:rsidRPr="00C403CF">
              <w:rPr>
                <w:rFonts w:ascii="Times New Roman" w:hAnsi="Times New Roman"/>
                <w:sz w:val="24"/>
                <w:szCs w:val="24"/>
                <w:lang w:val="sq-AL"/>
              </w:rPr>
              <w:t>pharmacokinetic</w:t>
            </w:r>
            <w:r w:rsidRPr="00C403CF">
              <w:rPr>
                <w:rFonts w:ascii="Times New Roman" w:hAnsi="Times New Roman"/>
                <w:sz w:val="24"/>
                <w:szCs w:val="24"/>
              </w:rPr>
              <w:t xml:space="preserve"> properties,</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numPr>
                <w:ilvl w:val="1"/>
                <w:numId w:val="5"/>
              </w:numPr>
              <w:tabs>
                <w:tab w:val="clear" w:pos="792"/>
              </w:tabs>
              <w:spacing w:after="0" w:line="240" w:lineRule="auto"/>
              <w:ind w:left="862" w:hanging="434"/>
              <w:jc w:val="both"/>
              <w:rPr>
                <w:rFonts w:ascii="Times New Roman" w:hAnsi="Times New Roman"/>
                <w:sz w:val="24"/>
                <w:szCs w:val="24"/>
              </w:rPr>
            </w:pPr>
            <w:proofErr w:type="gramStart"/>
            <w:r w:rsidRPr="00C403CF">
              <w:rPr>
                <w:rFonts w:ascii="Times New Roman" w:hAnsi="Times New Roman"/>
                <w:sz w:val="24"/>
                <w:szCs w:val="24"/>
              </w:rPr>
              <w:t>preclinical</w:t>
            </w:r>
            <w:proofErr w:type="gramEnd"/>
            <w:r w:rsidRPr="00C403CF">
              <w:rPr>
                <w:rFonts w:ascii="Times New Roman" w:hAnsi="Times New Roman"/>
                <w:sz w:val="24"/>
                <w:szCs w:val="24"/>
              </w:rPr>
              <w:t xml:space="preserve"> safety data.</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0"/>
                <w:numId w:val="6"/>
              </w:numPr>
              <w:spacing w:after="0" w:line="240" w:lineRule="auto"/>
              <w:ind w:left="430"/>
              <w:jc w:val="both"/>
              <w:rPr>
                <w:rFonts w:ascii="Times New Roman" w:hAnsi="Times New Roman"/>
                <w:sz w:val="24"/>
                <w:szCs w:val="24"/>
              </w:rPr>
            </w:pPr>
            <w:r w:rsidRPr="00C403CF">
              <w:rPr>
                <w:rFonts w:ascii="Times New Roman" w:hAnsi="Times New Roman"/>
                <w:sz w:val="24"/>
                <w:szCs w:val="24"/>
              </w:rPr>
              <w:t>Pharmaceutical particulars:</w:t>
            </w:r>
          </w:p>
          <w:p w:rsidR="001E7796" w:rsidRPr="00C403CF" w:rsidRDefault="001E7796" w:rsidP="001E7796">
            <w:pPr>
              <w:pStyle w:val="ListParagraph"/>
              <w:spacing w:after="0" w:line="240" w:lineRule="auto"/>
              <w:ind w:left="430"/>
              <w:jc w:val="both"/>
              <w:rPr>
                <w:rFonts w:ascii="Times New Roman" w:hAnsi="Times New Roman"/>
                <w:sz w:val="24"/>
                <w:szCs w:val="24"/>
              </w:rPr>
            </w:pPr>
          </w:p>
          <w:p w:rsidR="001E7796" w:rsidRPr="00C403CF" w:rsidRDefault="001E7796" w:rsidP="001E7796">
            <w:pPr>
              <w:pStyle w:val="ListParagraph"/>
              <w:numPr>
                <w:ilvl w:val="0"/>
                <w:numId w:val="5"/>
              </w:numPr>
              <w:spacing w:after="0" w:line="240" w:lineRule="auto"/>
              <w:contextualSpacing w:val="0"/>
              <w:jc w:val="both"/>
              <w:rPr>
                <w:rFonts w:ascii="Times New Roman" w:hAnsi="Times New Roman"/>
                <w:vanish/>
                <w:sz w:val="24"/>
                <w:szCs w:val="24"/>
                <w:lang w:val="sq-AL"/>
              </w:rPr>
            </w:pPr>
          </w:p>
          <w:p w:rsidR="001E7796" w:rsidRPr="00C403CF" w:rsidRDefault="001E7796" w:rsidP="001E7796">
            <w:pPr>
              <w:numPr>
                <w:ilvl w:val="1"/>
                <w:numId w:val="5"/>
              </w:numPr>
              <w:tabs>
                <w:tab w:val="clear" w:pos="792"/>
              </w:tabs>
              <w:spacing w:after="0" w:line="240" w:lineRule="auto"/>
              <w:ind w:left="890" w:hanging="448"/>
              <w:jc w:val="both"/>
              <w:rPr>
                <w:rFonts w:ascii="Times New Roman" w:hAnsi="Times New Roman"/>
                <w:sz w:val="24"/>
                <w:szCs w:val="24"/>
                <w:lang w:val="sq-AL"/>
              </w:rPr>
            </w:pPr>
            <w:r w:rsidRPr="00C403CF">
              <w:rPr>
                <w:rFonts w:ascii="Times New Roman" w:hAnsi="Times New Roman"/>
                <w:sz w:val="24"/>
                <w:szCs w:val="24"/>
                <w:lang w:val="sq-AL"/>
              </w:rPr>
              <w:t>list of excipients,</w:t>
            </w:r>
          </w:p>
          <w:p w:rsidR="001E7796" w:rsidRPr="00C403CF" w:rsidRDefault="001E7796" w:rsidP="001E7796">
            <w:pPr>
              <w:spacing w:after="0" w:line="240" w:lineRule="auto"/>
              <w:ind w:left="890"/>
              <w:jc w:val="both"/>
              <w:rPr>
                <w:rFonts w:ascii="Times New Roman" w:hAnsi="Times New Roman"/>
                <w:sz w:val="24"/>
                <w:szCs w:val="24"/>
                <w:lang w:val="sq-AL"/>
              </w:rPr>
            </w:pPr>
          </w:p>
          <w:p w:rsidR="001E7796" w:rsidRPr="00C403CF" w:rsidRDefault="001E7796" w:rsidP="001E7796">
            <w:pPr>
              <w:numPr>
                <w:ilvl w:val="1"/>
                <w:numId w:val="5"/>
              </w:numPr>
              <w:tabs>
                <w:tab w:val="clear" w:pos="792"/>
              </w:tabs>
              <w:spacing w:after="0" w:line="240" w:lineRule="auto"/>
              <w:ind w:left="890" w:hanging="448"/>
              <w:jc w:val="both"/>
              <w:rPr>
                <w:rFonts w:ascii="Times New Roman" w:hAnsi="Times New Roman"/>
                <w:sz w:val="24"/>
                <w:szCs w:val="24"/>
                <w:lang w:val="sq-AL"/>
              </w:rPr>
            </w:pPr>
            <w:r w:rsidRPr="00C403CF">
              <w:rPr>
                <w:rFonts w:ascii="Times New Roman" w:hAnsi="Times New Roman"/>
                <w:sz w:val="24"/>
                <w:szCs w:val="24"/>
                <w:lang w:val="sq-AL"/>
              </w:rPr>
              <w:t>major incompatibilities,</w:t>
            </w:r>
          </w:p>
          <w:p w:rsidR="001E7796" w:rsidRPr="00C403CF" w:rsidRDefault="001E7796" w:rsidP="001E7796">
            <w:pPr>
              <w:spacing w:after="0" w:line="240" w:lineRule="auto"/>
              <w:jc w:val="both"/>
              <w:rPr>
                <w:rFonts w:ascii="Times New Roman" w:hAnsi="Times New Roman"/>
                <w:sz w:val="24"/>
                <w:szCs w:val="24"/>
                <w:lang w:val="sq-AL"/>
              </w:rPr>
            </w:pPr>
          </w:p>
          <w:p w:rsidR="001E7796" w:rsidRPr="001E7796" w:rsidRDefault="001E7796" w:rsidP="001E7796">
            <w:pPr>
              <w:numPr>
                <w:ilvl w:val="1"/>
                <w:numId w:val="5"/>
              </w:numPr>
              <w:tabs>
                <w:tab w:val="clear" w:pos="792"/>
              </w:tabs>
              <w:spacing w:after="0" w:line="240" w:lineRule="auto"/>
              <w:ind w:left="890" w:hanging="448"/>
              <w:jc w:val="both"/>
              <w:rPr>
                <w:rFonts w:ascii="Times New Roman" w:hAnsi="Times New Roman"/>
                <w:sz w:val="24"/>
                <w:szCs w:val="24"/>
              </w:rPr>
            </w:pPr>
            <w:r w:rsidRPr="00C403CF">
              <w:rPr>
                <w:rFonts w:ascii="Times New Roman" w:hAnsi="Times New Roman"/>
                <w:sz w:val="24"/>
                <w:szCs w:val="24"/>
                <w:lang w:val="sq-AL"/>
              </w:rPr>
              <w:t>shelf life, when necessary after reconstitution of the medicinal product or when the immediate packaging is opened for the first time,</w:t>
            </w:r>
          </w:p>
          <w:p w:rsidR="001E7796" w:rsidRPr="00C403CF" w:rsidRDefault="001E7796" w:rsidP="001E7796">
            <w:pPr>
              <w:numPr>
                <w:ilvl w:val="1"/>
                <w:numId w:val="5"/>
              </w:numPr>
              <w:tabs>
                <w:tab w:val="clear" w:pos="792"/>
              </w:tabs>
              <w:spacing w:after="0" w:line="240" w:lineRule="auto"/>
              <w:ind w:left="890" w:hanging="448"/>
              <w:jc w:val="both"/>
              <w:rPr>
                <w:rFonts w:ascii="Times New Roman" w:hAnsi="Times New Roman"/>
                <w:sz w:val="24"/>
                <w:szCs w:val="24"/>
              </w:rPr>
            </w:pPr>
            <w:r w:rsidRPr="00C403CF">
              <w:rPr>
                <w:rFonts w:ascii="Times New Roman" w:hAnsi="Times New Roman"/>
                <w:sz w:val="24"/>
                <w:szCs w:val="24"/>
                <w:lang w:val="sq-AL"/>
              </w:rPr>
              <w:t>s</w:t>
            </w:r>
            <w:proofErr w:type="spellStart"/>
            <w:r w:rsidRPr="00C403CF">
              <w:rPr>
                <w:rFonts w:ascii="Times New Roman" w:hAnsi="Times New Roman"/>
                <w:sz w:val="24"/>
                <w:szCs w:val="24"/>
              </w:rPr>
              <w:t>pecial</w:t>
            </w:r>
            <w:proofErr w:type="spellEnd"/>
            <w:r w:rsidRPr="00C403CF">
              <w:rPr>
                <w:rFonts w:ascii="Times New Roman" w:hAnsi="Times New Roman"/>
                <w:sz w:val="24"/>
                <w:szCs w:val="24"/>
              </w:rPr>
              <w:t xml:space="preserve"> precautions for storage,</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numPr>
                <w:ilvl w:val="1"/>
                <w:numId w:val="5"/>
              </w:numPr>
              <w:tabs>
                <w:tab w:val="clear" w:pos="792"/>
              </w:tabs>
              <w:spacing w:after="0" w:line="240" w:lineRule="auto"/>
              <w:ind w:left="890" w:hanging="448"/>
              <w:jc w:val="both"/>
              <w:rPr>
                <w:rFonts w:ascii="Times New Roman" w:hAnsi="Times New Roman"/>
                <w:sz w:val="24"/>
                <w:szCs w:val="24"/>
              </w:rPr>
            </w:pPr>
            <w:r w:rsidRPr="00C403CF">
              <w:rPr>
                <w:rFonts w:ascii="Times New Roman" w:hAnsi="Times New Roman"/>
                <w:sz w:val="24"/>
                <w:szCs w:val="24"/>
              </w:rPr>
              <w:t>nature and contents of container,</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numPr>
                <w:ilvl w:val="1"/>
                <w:numId w:val="5"/>
              </w:numPr>
              <w:tabs>
                <w:tab w:val="clear" w:pos="792"/>
              </w:tabs>
              <w:spacing w:after="0" w:line="240" w:lineRule="auto"/>
              <w:ind w:left="890" w:hanging="448"/>
              <w:jc w:val="both"/>
              <w:rPr>
                <w:rFonts w:ascii="Times New Roman" w:hAnsi="Times New Roman"/>
                <w:sz w:val="24"/>
                <w:szCs w:val="24"/>
              </w:rPr>
            </w:pPr>
            <w:proofErr w:type="gramStart"/>
            <w:r w:rsidRPr="00C403CF">
              <w:rPr>
                <w:rFonts w:ascii="Times New Roman" w:hAnsi="Times New Roman"/>
                <w:sz w:val="24"/>
                <w:szCs w:val="24"/>
              </w:rPr>
              <w:t>special</w:t>
            </w:r>
            <w:proofErr w:type="gramEnd"/>
            <w:r w:rsidRPr="00C403CF">
              <w:rPr>
                <w:rFonts w:ascii="Times New Roman" w:hAnsi="Times New Roman"/>
                <w:sz w:val="24"/>
                <w:szCs w:val="24"/>
              </w:rPr>
              <w:t xml:space="preserve"> precautions for disposal of a used medicinal product or waste materials derived from such medicinal product, if appropriate.</w:t>
            </w:r>
          </w:p>
          <w:p w:rsidR="001E7796" w:rsidRPr="00C403CF" w:rsidRDefault="001E7796" w:rsidP="001E7796">
            <w:pPr>
              <w:spacing w:after="0" w:line="240" w:lineRule="auto"/>
              <w:ind w:left="792"/>
              <w:jc w:val="both"/>
              <w:rPr>
                <w:rFonts w:ascii="Times New Roman" w:hAnsi="Times New Roman"/>
                <w:sz w:val="24"/>
                <w:szCs w:val="24"/>
              </w:rPr>
            </w:pPr>
          </w:p>
          <w:p w:rsidR="001E7796" w:rsidRPr="00C403CF" w:rsidRDefault="001E7796" w:rsidP="001E7796">
            <w:pPr>
              <w:spacing w:after="0" w:line="240" w:lineRule="auto"/>
              <w:ind w:left="792"/>
              <w:jc w:val="both"/>
              <w:rPr>
                <w:rFonts w:ascii="Times New Roman" w:hAnsi="Times New Roman"/>
                <w:sz w:val="24"/>
                <w:szCs w:val="24"/>
              </w:rPr>
            </w:pPr>
          </w:p>
          <w:p w:rsidR="001E7796" w:rsidRPr="00C403CF" w:rsidRDefault="001E7796" w:rsidP="001E7796">
            <w:pPr>
              <w:pStyle w:val="ListParagraph"/>
              <w:numPr>
                <w:ilvl w:val="0"/>
                <w:numId w:val="7"/>
              </w:numPr>
              <w:spacing w:after="0" w:line="240" w:lineRule="auto"/>
              <w:ind w:left="430" w:hanging="425"/>
              <w:jc w:val="both"/>
              <w:rPr>
                <w:rFonts w:ascii="Times New Roman" w:hAnsi="Times New Roman"/>
                <w:sz w:val="24"/>
                <w:szCs w:val="24"/>
              </w:rPr>
            </w:pPr>
            <w:r w:rsidRPr="00C403CF">
              <w:rPr>
                <w:rFonts w:ascii="Times New Roman" w:hAnsi="Times New Roman"/>
                <w:sz w:val="24"/>
                <w:szCs w:val="24"/>
              </w:rPr>
              <w:t xml:space="preserve">Authorization for </w:t>
            </w:r>
            <w:proofErr w:type="gramStart"/>
            <w:r w:rsidRPr="00C403CF">
              <w:rPr>
                <w:rFonts w:ascii="Times New Roman" w:hAnsi="Times New Roman"/>
                <w:sz w:val="24"/>
                <w:szCs w:val="24"/>
              </w:rPr>
              <w:t>Marketing</w:t>
            </w:r>
            <w:proofErr w:type="gramEnd"/>
            <w:r w:rsidRPr="00C403CF">
              <w:rPr>
                <w:rFonts w:ascii="Times New Roman" w:hAnsi="Times New Roman"/>
                <w:sz w:val="24"/>
                <w:szCs w:val="24"/>
              </w:rPr>
              <w:t xml:space="preserve"> holder.</w:t>
            </w:r>
          </w:p>
          <w:p w:rsidR="001E7796" w:rsidRPr="00C403CF" w:rsidRDefault="001E7796" w:rsidP="001E7796">
            <w:pPr>
              <w:pStyle w:val="ListParagraph"/>
              <w:spacing w:after="0" w:line="240" w:lineRule="auto"/>
              <w:ind w:left="430"/>
              <w:jc w:val="both"/>
              <w:rPr>
                <w:rFonts w:ascii="Times New Roman" w:hAnsi="Times New Roman"/>
                <w:sz w:val="24"/>
                <w:szCs w:val="24"/>
              </w:rPr>
            </w:pPr>
          </w:p>
          <w:p w:rsidR="001E7796" w:rsidRPr="00C403CF" w:rsidRDefault="001E7796" w:rsidP="001E7796">
            <w:pPr>
              <w:pStyle w:val="ListParagraph"/>
              <w:numPr>
                <w:ilvl w:val="0"/>
                <w:numId w:val="7"/>
              </w:numPr>
              <w:spacing w:after="0" w:line="240" w:lineRule="auto"/>
              <w:ind w:left="430" w:hanging="425"/>
              <w:jc w:val="both"/>
              <w:rPr>
                <w:rFonts w:ascii="Times New Roman" w:hAnsi="Times New Roman"/>
                <w:sz w:val="24"/>
                <w:szCs w:val="24"/>
              </w:rPr>
            </w:pPr>
            <w:r w:rsidRPr="00C403CF">
              <w:rPr>
                <w:rFonts w:ascii="Times New Roman" w:hAnsi="Times New Roman"/>
                <w:sz w:val="24"/>
                <w:szCs w:val="24"/>
              </w:rPr>
              <w:t xml:space="preserve">Authorization for </w:t>
            </w:r>
            <w:proofErr w:type="gramStart"/>
            <w:r w:rsidRPr="00C403CF">
              <w:rPr>
                <w:rFonts w:ascii="Times New Roman" w:hAnsi="Times New Roman"/>
                <w:sz w:val="24"/>
                <w:szCs w:val="24"/>
              </w:rPr>
              <w:t>Marketing</w:t>
            </w:r>
            <w:proofErr w:type="gramEnd"/>
            <w:r w:rsidRPr="00C403CF">
              <w:rPr>
                <w:rFonts w:ascii="Times New Roman" w:hAnsi="Times New Roman"/>
                <w:sz w:val="24"/>
                <w:szCs w:val="24"/>
              </w:rPr>
              <w:t xml:space="preserve"> number/s.</w:t>
            </w:r>
          </w:p>
          <w:p w:rsidR="001E7796" w:rsidRPr="00C403CF" w:rsidRDefault="001E7796" w:rsidP="001E7796">
            <w:pPr>
              <w:spacing w:after="0" w:line="240" w:lineRule="auto"/>
              <w:ind w:left="5"/>
              <w:jc w:val="both"/>
              <w:rPr>
                <w:rFonts w:ascii="Times New Roman" w:hAnsi="Times New Roman"/>
                <w:sz w:val="24"/>
                <w:szCs w:val="24"/>
              </w:rPr>
            </w:pPr>
          </w:p>
          <w:p w:rsidR="001E7796" w:rsidRPr="00C403CF" w:rsidRDefault="001E7796" w:rsidP="001E7796">
            <w:pPr>
              <w:pStyle w:val="ListParagraph"/>
              <w:numPr>
                <w:ilvl w:val="0"/>
                <w:numId w:val="7"/>
              </w:numPr>
              <w:spacing w:after="0" w:line="240" w:lineRule="auto"/>
              <w:ind w:left="430" w:hanging="425"/>
              <w:jc w:val="both"/>
              <w:rPr>
                <w:rFonts w:ascii="Times New Roman" w:hAnsi="Times New Roman"/>
                <w:sz w:val="24"/>
                <w:szCs w:val="24"/>
              </w:rPr>
            </w:pPr>
            <w:r w:rsidRPr="00C403CF">
              <w:rPr>
                <w:rFonts w:ascii="Times New Roman" w:hAnsi="Times New Roman"/>
                <w:sz w:val="24"/>
                <w:szCs w:val="24"/>
              </w:rPr>
              <w:t>Date of the first authorization or renewal of the authorization.</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0"/>
                <w:numId w:val="7"/>
              </w:numPr>
              <w:spacing w:after="0" w:line="240" w:lineRule="auto"/>
              <w:ind w:left="430" w:hanging="425"/>
              <w:jc w:val="both"/>
              <w:rPr>
                <w:rFonts w:ascii="Times New Roman" w:hAnsi="Times New Roman"/>
                <w:sz w:val="24"/>
                <w:szCs w:val="24"/>
              </w:rPr>
            </w:pPr>
            <w:r w:rsidRPr="00C403CF">
              <w:rPr>
                <w:rFonts w:ascii="Times New Roman" w:hAnsi="Times New Roman"/>
                <w:sz w:val="24"/>
                <w:szCs w:val="24"/>
              </w:rPr>
              <w:t>Date of revision of the text.</w:t>
            </w:r>
          </w:p>
          <w:p w:rsidR="001E7796" w:rsidRPr="00C403CF" w:rsidRDefault="001E7796" w:rsidP="001E7796">
            <w:pPr>
              <w:spacing w:after="0" w:line="240" w:lineRule="auto"/>
              <w:jc w:val="both"/>
              <w:rPr>
                <w:rFonts w:ascii="Times New Roman" w:hAnsi="Times New Roman"/>
                <w:sz w:val="24"/>
                <w:szCs w:val="24"/>
              </w:rPr>
            </w:pPr>
          </w:p>
          <w:p w:rsidR="001E7796" w:rsidRPr="00C403CF" w:rsidRDefault="001E7796" w:rsidP="001E7796">
            <w:pPr>
              <w:pStyle w:val="ListParagraph"/>
              <w:numPr>
                <w:ilvl w:val="0"/>
                <w:numId w:val="7"/>
              </w:numPr>
              <w:spacing w:after="0" w:line="240" w:lineRule="auto"/>
              <w:ind w:left="430" w:hanging="425"/>
              <w:jc w:val="both"/>
              <w:rPr>
                <w:rFonts w:ascii="Times New Roman" w:hAnsi="Times New Roman"/>
                <w:sz w:val="24"/>
                <w:szCs w:val="24"/>
              </w:rPr>
            </w:pPr>
            <w:r w:rsidRPr="00C403CF">
              <w:rPr>
                <w:rFonts w:ascii="Times New Roman" w:hAnsi="Times New Roman"/>
                <w:sz w:val="24"/>
                <w:szCs w:val="24"/>
              </w:rPr>
              <w:t xml:space="preserve">For radiopharmaceuticals, full details of internal radiation </w:t>
            </w:r>
            <w:proofErr w:type="spellStart"/>
            <w:r w:rsidRPr="00C403CF">
              <w:rPr>
                <w:rFonts w:ascii="Times New Roman" w:hAnsi="Times New Roman"/>
                <w:sz w:val="24"/>
                <w:szCs w:val="24"/>
              </w:rPr>
              <w:t>dosimetry</w:t>
            </w:r>
            <w:proofErr w:type="spellEnd"/>
            <w:r w:rsidRPr="00C403CF">
              <w:rPr>
                <w:rFonts w:ascii="Times New Roman" w:hAnsi="Times New Roman"/>
                <w:sz w:val="24"/>
                <w:szCs w:val="24"/>
              </w:rPr>
              <w:t>.</w:t>
            </w:r>
          </w:p>
          <w:p w:rsidR="001E7796" w:rsidRPr="00C403CF" w:rsidRDefault="001E7796" w:rsidP="001E7796">
            <w:pPr>
              <w:spacing w:after="0" w:line="240" w:lineRule="auto"/>
              <w:jc w:val="both"/>
              <w:rPr>
                <w:rFonts w:ascii="Times New Roman" w:hAnsi="Times New Roman"/>
                <w:sz w:val="24"/>
                <w:szCs w:val="24"/>
              </w:rPr>
            </w:pPr>
          </w:p>
          <w:p w:rsidR="001E7796" w:rsidRPr="001E7796" w:rsidRDefault="001E7796" w:rsidP="001E7796">
            <w:pPr>
              <w:pStyle w:val="ListParagraph"/>
              <w:numPr>
                <w:ilvl w:val="0"/>
                <w:numId w:val="7"/>
              </w:numPr>
              <w:spacing w:after="0" w:line="240" w:lineRule="auto"/>
              <w:ind w:left="430" w:hanging="425"/>
              <w:jc w:val="both"/>
              <w:rPr>
                <w:rFonts w:ascii="Times New Roman" w:hAnsi="Times New Roman"/>
                <w:sz w:val="24"/>
                <w:szCs w:val="24"/>
              </w:rPr>
            </w:pPr>
            <w:proofErr w:type="gramStart"/>
            <w:r w:rsidRPr="00C403CF">
              <w:rPr>
                <w:rFonts w:ascii="Times New Roman" w:hAnsi="Times New Roman"/>
                <w:sz w:val="24"/>
                <w:szCs w:val="24"/>
              </w:rPr>
              <w:t>for</w:t>
            </w:r>
            <w:proofErr w:type="gramEnd"/>
            <w:r w:rsidRPr="00C403CF">
              <w:rPr>
                <w:rFonts w:ascii="Times New Roman" w:hAnsi="Times New Roman"/>
                <w:sz w:val="24"/>
                <w:szCs w:val="24"/>
              </w:rPr>
              <w:t xml:space="preserve"> radiopharmaceuticals, additional detailed instructions for extemporaneous </w:t>
            </w:r>
            <w:r w:rsidRPr="00C403CF">
              <w:rPr>
                <w:rFonts w:ascii="Times New Roman" w:hAnsi="Times New Roman"/>
                <w:sz w:val="24"/>
                <w:szCs w:val="24"/>
              </w:rPr>
              <w:lastRenderedPageBreak/>
              <w:t xml:space="preserve">preparation and quality control of such preparation and, where appropriate, maximum storage time during which any intermediate preparation such as an </w:t>
            </w:r>
            <w:proofErr w:type="spellStart"/>
            <w:r w:rsidRPr="00C403CF">
              <w:rPr>
                <w:rFonts w:ascii="Times New Roman" w:hAnsi="Times New Roman"/>
                <w:sz w:val="24"/>
                <w:szCs w:val="24"/>
              </w:rPr>
              <w:t>eluate</w:t>
            </w:r>
            <w:proofErr w:type="spellEnd"/>
            <w:r w:rsidRPr="00C403CF">
              <w:rPr>
                <w:rFonts w:ascii="Times New Roman" w:hAnsi="Times New Roman"/>
                <w:sz w:val="24"/>
                <w:szCs w:val="24"/>
              </w:rPr>
              <w:t xml:space="preserve"> or the ready-to-use pharmaceutical will conform with its specifications.</w:t>
            </w:r>
          </w:p>
        </w:tc>
        <w:tc>
          <w:tcPr>
            <w:tcW w:w="4650" w:type="dxa"/>
          </w:tcPr>
          <w:p w:rsidR="001E7796" w:rsidRPr="00C403CF" w:rsidRDefault="001E7796" w:rsidP="001E7796">
            <w:pPr>
              <w:pStyle w:val="Default"/>
              <w:jc w:val="center"/>
              <w:rPr>
                <w:b/>
                <w:color w:val="auto"/>
                <w:lang w:val="sq-AL"/>
              </w:rPr>
            </w:pPr>
            <w:r w:rsidRPr="00C403CF">
              <w:rPr>
                <w:b/>
                <w:color w:val="auto"/>
                <w:lang w:val="sq-AL"/>
              </w:rPr>
              <w:lastRenderedPageBreak/>
              <w:t>Sažetak karakteristika prozvoda (SKP)</w:t>
            </w:r>
          </w:p>
          <w:p w:rsidR="001E7796" w:rsidRDefault="001E7796" w:rsidP="001E7796">
            <w:pPr>
              <w:pStyle w:val="Default"/>
              <w:jc w:val="both"/>
              <w:rPr>
                <w:b/>
                <w:color w:val="auto"/>
                <w:lang w:val="sq-AL"/>
              </w:rPr>
            </w:pPr>
          </w:p>
          <w:p w:rsidR="001E7796" w:rsidRPr="00C403CF" w:rsidRDefault="001E7796" w:rsidP="001E7796">
            <w:pPr>
              <w:pStyle w:val="Default"/>
              <w:jc w:val="both"/>
              <w:rPr>
                <w:color w:val="auto"/>
                <w:lang w:val="sq-AL"/>
              </w:rPr>
            </w:pPr>
            <w:r w:rsidRPr="00C403CF">
              <w:rPr>
                <w:b/>
                <w:color w:val="auto"/>
                <w:lang w:val="sq-AL"/>
              </w:rPr>
              <w:br/>
            </w:r>
            <w:r w:rsidRPr="00C403CF">
              <w:rPr>
                <w:color w:val="auto"/>
                <w:lang w:val="sq-AL"/>
              </w:rPr>
              <w:t xml:space="preserve">Sažetak karakteristika proizvoda sadržaće, prema nižem redosledu, informacije u nastavku: </w:t>
            </w:r>
          </w:p>
          <w:p w:rsidR="001E7796" w:rsidRPr="00C403CF" w:rsidRDefault="001E7796" w:rsidP="001E7796">
            <w:pPr>
              <w:pStyle w:val="Default"/>
              <w:jc w:val="both"/>
              <w:rPr>
                <w:color w:val="auto"/>
                <w:lang w:val="sq-AL"/>
              </w:rPr>
            </w:pPr>
          </w:p>
          <w:p w:rsidR="001E7796"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Naziv medicinskog proizvoda propraćen sa farmacaeutskom ja</w:t>
            </w:r>
            <w:r w:rsidRPr="00C403CF">
              <w:rPr>
                <w:rFonts w:ascii="Times New Roman" w:hAnsi="Times New Roman"/>
                <w:sz w:val="24"/>
                <w:szCs w:val="24"/>
                <w:lang w:val="sr-Latn-BA"/>
              </w:rPr>
              <w:t>činom</w:t>
            </w:r>
            <w:r w:rsidRPr="00C403CF">
              <w:rPr>
                <w:rFonts w:ascii="Times New Roman" w:hAnsi="Times New Roman"/>
                <w:sz w:val="24"/>
                <w:szCs w:val="24"/>
                <w:lang w:val="sq-AL"/>
              </w:rPr>
              <w:t xml:space="preserve"> i oblikom.</w:t>
            </w:r>
          </w:p>
          <w:p w:rsidR="001E7796" w:rsidRDefault="001E7796" w:rsidP="001E7796">
            <w:pPr>
              <w:spacing w:after="0" w:line="240" w:lineRule="auto"/>
              <w:ind w:left="360"/>
              <w:jc w:val="both"/>
              <w:rPr>
                <w:rFonts w:ascii="Times New Roman" w:hAnsi="Times New Roman"/>
                <w:sz w:val="24"/>
                <w:szCs w:val="24"/>
                <w:lang w:val="sq-AL"/>
              </w:rPr>
            </w:pPr>
          </w:p>
          <w:p w:rsidR="001E7796" w:rsidRPr="001E7796" w:rsidRDefault="001E7796" w:rsidP="001E7796">
            <w:pPr>
              <w:numPr>
                <w:ilvl w:val="0"/>
                <w:numId w:val="8"/>
              </w:numPr>
              <w:spacing w:after="0" w:line="240" w:lineRule="auto"/>
              <w:jc w:val="both"/>
              <w:rPr>
                <w:rFonts w:ascii="Times New Roman" w:hAnsi="Times New Roman"/>
                <w:sz w:val="24"/>
                <w:szCs w:val="24"/>
                <w:lang w:val="sq-AL"/>
              </w:rPr>
            </w:pPr>
            <w:r w:rsidRPr="001E7796">
              <w:rPr>
                <w:rFonts w:ascii="Times New Roman" w:hAnsi="Times New Roman"/>
                <w:sz w:val="24"/>
                <w:szCs w:val="24"/>
                <w:lang w:val="sq-AL"/>
              </w:rPr>
              <w:t>Sastav kvaliteta i kvantiteta što se tiče aktivnih supstanci i sastojaka ekcipijenta, čije poznavanje je suštinsko za pravilnuupotrebu medicinskog proizvoda. Koristiće se uobićajeno ime ili hemijski opis.</w:t>
            </w:r>
          </w:p>
          <w:p w:rsidR="001E7796" w:rsidRPr="001E7796" w:rsidRDefault="001E7796" w:rsidP="001E7796">
            <w:pPr>
              <w:numPr>
                <w:ilvl w:val="0"/>
                <w:numId w:val="8"/>
              </w:numPr>
              <w:spacing w:after="0" w:line="240" w:lineRule="auto"/>
              <w:jc w:val="both"/>
              <w:rPr>
                <w:rFonts w:ascii="Times New Roman" w:hAnsi="Times New Roman"/>
                <w:sz w:val="24"/>
                <w:szCs w:val="24"/>
                <w:lang w:val="sq-AL"/>
              </w:rPr>
            </w:pPr>
            <w:r w:rsidRPr="001E7796">
              <w:rPr>
                <w:rFonts w:ascii="Times New Roman" w:hAnsi="Times New Roman"/>
                <w:sz w:val="24"/>
                <w:szCs w:val="24"/>
                <w:lang w:val="sq-AL"/>
              </w:rPr>
              <w:t>Farmaceutska forma.</w:t>
            </w:r>
          </w:p>
          <w:p w:rsidR="001E7796"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Kliničke osobine: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terapeutske indikacije,</w:t>
            </w:r>
          </w:p>
          <w:p w:rsidR="001E7796" w:rsidRPr="00C403CF" w:rsidRDefault="001E7796" w:rsidP="001E7796">
            <w:pPr>
              <w:spacing w:after="0" w:line="240" w:lineRule="auto"/>
              <w:ind w:left="813"/>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doziranje i načinupotrebe za odrasle i gde je potrebno i za decu,</w:t>
            </w:r>
          </w:p>
          <w:p w:rsidR="001E7796" w:rsidRPr="00C403CF" w:rsidRDefault="001E7796" w:rsidP="001E7796">
            <w:pPr>
              <w:spacing w:after="0" w:line="240" w:lineRule="auto"/>
              <w:ind w:left="813"/>
              <w:jc w:val="both"/>
              <w:rPr>
                <w:rFonts w:ascii="Times New Roman" w:hAnsi="Times New Roman"/>
                <w:sz w:val="24"/>
                <w:szCs w:val="24"/>
                <w:lang w:val="sq-AL"/>
              </w:rPr>
            </w:pPr>
          </w:p>
          <w:p w:rsidR="001E7796" w:rsidRPr="00C403CF" w:rsidRDefault="001E7796" w:rsidP="001E7796">
            <w:pPr>
              <w:spacing w:after="0" w:line="240" w:lineRule="auto"/>
              <w:ind w:left="813"/>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kontraindikacije,</w:t>
            </w:r>
          </w:p>
          <w:p w:rsidR="001E7796" w:rsidRPr="00C403CF" w:rsidRDefault="001E7796" w:rsidP="001E7796">
            <w:pPr>
              <w:spacing w:after="0" w:line="240" w:lineRule="auto"/>
              <w:ind w:left="813"/>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upozorenje i mere predostr</w:t>
            </w:r>
            <w:r w:rsidRPr="00C403CF">
              <w:rPr>
                <w:rFonts w:ascii="Times New Roman" w:hAnsi="Times New Roman"/>
                <w:sz w:val="24"/>
                <w:szCs w:val="24"/>
                <w:lang w:val="sr-Latn-BA"/>
              </w:rPr>
              <w:t>ož</w:t>
            </w:r>
            <w:r w:rsidRPr="00C403CF">
              <w:rPr>
                <w:rFonts w:ascii="Times New Roman" w:hAnsi="Times New Roman"/>
                <w:sz w:val="24"/>
                <w:szCs w:val="24"/>
                <w:lang w:val="sq-AL"/>
              </w:rPr>
              <w:t xml:space="preserve">nosti za upotrebu i, u slučajevima  imunoloških medicinskih proizvoda, </w:t>
            </w:r>
            <w:r w:rsidRPr="00C403CF">
              <w:rPr>
                <w:rFonts w:ascii="Times New Roman" w:hAnsi="Times New Roman"/>
                <w:sz w:val="24"/>
                <w:szCs w:val="24"/>
                <w:lang w:val="sq-AL"/>
              </w:rPr>
              <w:lastRenderedPageBreak/>
              <w:t>mere predostrožnosti koje treba da se preduzmu od strane lica koji rukovaju i upravljaju takve proizvode za pacijente, zajedno sa predostrožnim merama koje treba da se preduzmu od strane pacijenta,</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interakcija sa drugim medicinskim proizvodima i drugioblici interakcija,</w:t>
            </w:r>
          </w:p>
          <w:p w:rsidR="001E7796"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trudnoća i dojenje,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efekti sposobnosti upravljanja vozilom i upotrebom drugih mašina,</w:t>
            </w:r>
          </w:p>
          <w:p w:rsidR="001E7796"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nuspojave,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tabs>
                <w:tab w:val="clear" w:pos="792"/>
              </w:tabs>
              <w:spacing w:after="0" w:line="240" w:lineRule="auto"/>
              <w:ind w:left="813"/>
              <w:jc w:val="both"/>
              <w:rPr>
                <w:rFonts w:ascii="Times New Roman" w:hAnsi="Times New Roman"/>
                <w:sz w:val="24"/>
                <w:szCs w:val="24"/>
                <w:lang w:val="sq-AL"/>
              </w:rPr>
            </w:pPr>
            <w:r w:rsidRPr="00C403CF">
              <w:rPr>
                <w:rFonts w:ascii="Times New Roman" w:hAnsi="Times New Roman"/>
                <w:sz w:val="24"/>
                <w:szCs w:val="24"/>
                <w:lang w:val="sq-AL"/>
              </w:rPr>
              <w:t>predoziranje.</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Farmakološka svojstva:</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Farmakodinamijskasvojstva,</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Farmakokinetskasvojstva,</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 xml:space="preserve"> predklinički sigurnosni podaci.</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Farmaceutskasvojstva:</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lista ekscipienata,</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značajne nesuglasnosti,</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rok trajanja,po potrebi posle ponovnog stvaranja medicinskog proizvoda ili kada primarno pakovanje je otvoreno po prvi put,</w:t>
            </w:r>
          </w:p>
          <w:p w:rsidR="001E7796" w:rsidRPr="00C403CF" w:rsidRDefault="001E7796" w:rsidP="001E7796">
            <w:pPr>
              <w:spacing w:after="0" w:line="240" w:lineRule="auto"/>
              <w:ind w:left="792"/>
              <w:jc w:val="both"/>
              <w:rPr>
                <w:rFonts w:ascii="Times New Roman" w:hAnsi="Times New Roman"/>
                <w:sz w:val="24"/>
                <w:szCs w:val="24"/>
                <w:lang w:val="sq-AL"/>
              </w:rPr>
            </w:pPr>
          </w:p>
          <w:p w:rsidR="001E7796" w:rsidRPr="001E7796"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posebne pethodne mere za skladi</w:t>
            </w:r>
            <w:r w:rsidRPr="00C403CF">
              <w:rPr>
                <w:rFonts w:ascii="Times New Roman" w:hAnsi="Times New Roman"/>
                <w:sz w:val="24"/>
                <w:szCs w:val="24"/>
                <w:lang w:val="sr-Latn-BA"/>
              </w:rPr>
              <w:t>štenje</w:t>
            </w:r>
            <w:r w:rsidRPr="00C403CF">
              <w:rPr>
                <w:rFonts w:ascii="Times New Roman" w:hAnsi="Times New Roman"/>
                <w:sz w:val="24"/>
                <w:szCs w:val="24"/>
                <w:lang w:val="sq-AL"/>
              </w:rPr>
              <w:t>,</w:t>
            </w:r>
          </w:p>
          <w:p w:rsidR="001E7796" w:rsidRPr="00C403CF"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priroda i sadržaj kontejnera,</w:t>
            </w:r>
          </w:p>
          <w:p w:rsidR="001E7796" w:rsidRPr="00C403CF" w:rsidRDefault="001E7796" w:rsidP="001E7796">
            <w:pPr>
              <w:spacing w:after="0" w:line="240" w:lineRule="auto"/>
              <w:jc w:val="both"/>
              <w:rPr>
                <w:rFonts w:ascii="Times New Roman" w:hAnsi="Times New Roman"/>
                <w:sz w:val="24"/>
                <w:szCs w:val="24"/>
                <w:lang w:val="sq-AL"/>
              </w:rPr>
            </w:pPr>
          </w:p>
          <w:p w:rsidR="001E7796" w:rsidRPr="001E7796" w:rsidRDefault="001E7796" w:rsidP="001E7796">
            <w:pPr>
              <w:numPr>
                <w:ilvl w:val="1"/>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posebne prethodne mere za uni</w:t>
            </w:r>
            <w:r w:rsidRPr="00C403CF">
              <w:rPr>
                <w:rFonts w:ascii="Times New Roman" w:hAnsi="Times New Roman"/>
                <w:sz w:val="24"/>
                <w:szCs w:val="24"/>
                <w:lang w:val="sr-Latn-BA"/>
              </w:rPr>
              <w:t>štavanje</w:t>
            </w:r>
            <w:r w:rsidRPr="00C403CF">
              <w:rPr>
                <w:rFonts w:ascii="Times New Roman" w:hAnsi="Times New Roman"/>
                <w:sz w:val="24"/>
                <w:szCs w:val="24"/>
                <w:lang w:val="sq-AL"/>
              </w:rPr>
              <w:t xml:space="preserve"> upotrebljenog medicinskog proizvoda ili otpadnih materijala koji proizilaze od takvih medicinskih proizvoda, ukoliko je primenjivo.</w:t>
            </w: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vlasnik ovlašćenja marketinga.</w:t>
            </w:r>
          </w:p>
          <w:p w:rsidR="001E7796" w:rsidRPr="00C403CF" w:rsidRDefault="001E7796" w:rsidP="001E7796">
            <w:pPr>
              <w:spacing w:after="0" w:line="240" w:lineRule="auto"/>
              <w:ind w:left="360"/>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broj/evi ovlašćenja marketinga.</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datum prvog ovlašćenja ili obnavljanje ovlašćenja.</w:t>
            </w:r>
          </w:p>
          <w:p w:rsidR="001E7796" w:rsidRPr="00C403CF" w:rsidRDefault="001E7796" w:rsidP="001E7796">
            <w:pPr>
              <w:spacing w:after="0" w:line="240" w:lineRule="auto"/>
              <w:jc w:val="both"/>
              <w:rPr>
                <w:rFonts w:ascii="Times New Roman" w:hAnsi="Times New Roman"/>
                <w:sz w:val="24"/>
                <w:szCs w:val="24"/>
                <w:lang w:val="sq-AL"/>
              </w:rPr>
            </w:pPr>
          </w:p>
          <w:p w:rsidR="001E7796" w:rsidRPr="00C403CF"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datum revizije teksta.</w:t>
            </w:r>
          </w:p>
          <w:p w:rsidR="001E7796" w:rsidRPr="00C403CF" w:rsidRDefault="001E7796" w:rsidP="001E7796">
            <w:pPr>
              <w:spacing w:after="0" w:line="240" w:lineRule="auto"/>
              <w:jc w:val="both"/>
              <w:rPr>
                <w:rFonts w:ascii="Times New Roman" w:hAnsi="Times New Roman"/>
                <w:sz w:val="24"/>
                <w:szCs w:val="24"/>
                <w:lang w:val="sq-AL"/>
              </w:rPr>
            </w:pPr>
          </w:p>
          <w:p w:rsidR="001E7796" w:rsidRDefault="001E7796" w:rsidP="001E7796">
            <w:pPr>
              <w:numPr>
                <w:ilvl w:val="0"/>
                <w:numId w:val="8"/>
              </w:numPr>
              <w:spacing w:after="0" w:line="240" w:lineRule="auto"/>
              <w:jc w:val="both"/>
              <w:rPr>
                <w:rFonts w:ascii="Times New Roman" w:hAnsi="Times New Roman"/>
                <w:sz w:val="24"/>
                <w:szCs w:val="24"/>
                <w:lang w:val="sq-AL"/>
              </w:rPr>
            </w:pPr>
            <w:r w:rsidRPr="00C403CF">
              <w:rPr>
                <w:rFonts w:ascii="Times New Roman" w:hAnsi="Times New Roman"/>
                <w:sz w:val="24"/>
                <w:szCs w:val="24"/>
                <w:lang w:val="sq-AL"/>
              </w:rPr>
              <w:t>za radiofarmaciste, kompletnidetalji unutrašnje dozimetrije zračenja.</w:t>
            </w:r>
          </w:p>
          <w:p w:rsidR="001E7796" w:rsidRPr="001E7796" w:rsidRDefault="001E7796" w:rsidP="001E7796">
            <w:pPr>
              <w:spacing w:after="0" w:line="240" w:lineRule="auto"/>
              <w:jc w:val="both"/>
              <w:rPr>
                <w:rFonts w:ascii="Times New Roman" w:hAnsi="Times New Roman"/>
                <w:sz w:val="24"/>
                <w:szCs w:val="24"/>
                <w:lang w:val="sq-AL"/>
              </w:rPr>
            </w:pPr>
          </w:p>
          <w:p w:rsidR="001E7796" w:rsidRPr="001E7796" w:rsidRDefault="001E7796" w:rsidP="001E7796">
            <w:pPr>
              <w:numPr>
                <w:ilvl w:val="0"/>
                <w:numId w:val="8"/>
              </w:numPr>
              <w:tabs>
                <w:tab w:val="clear" w:pos="360"/>
              </w:tabs>
              <w:spacing w:after="0" w:line="240" w:lineRule="auto"/>
              <w:ind w:left="435" w:hanging="435"/>
              <w:jc w:val="both"/>
              <w:rPr>
                <w:rFonts w:ascii="Times New Roman" w:hAnsi="Times New Roman"/>
                <w:sz w:val="24"/>
                <w:szCs w:val="24"/>
                <w:lang w:val="sq-AL"/>
              </w:rPr>
            </w:pPr>
            <w:r w:rsidRPr="00C403CF">
              <w:rPr>
                <w:rFonts w:ascii="Times New Roman" w:hAnsi="Times New Roman"/>
                <w:sz w:val="24"/>
                <w:szCs w:val="24"/>
                <w:lang w:val="sq-AL"/>
              </w:rPr>
              <w:t xml:space="preserve">Za radiofarmaciste, dodatna detaljna uputstva  za improvizovane preparate i </w:t>
            </w:r>
            <w:r w:rsidRPr="00C403CF">
              <w:rPr>
                <w:rFonts w:ascii="Times New Roman" w:hAnsi="Times New Roman"/>
                <w:sz w:val="24"/>
                <w:szCs w:val="24"/>
                <w:lang w:val="sq-AL"/>
              </w:rPr>
              <w:lastRenderedPageBreak/>
              <w:t>kontrolu kvaliteta takvih preparata i kada je prikladno, da se pruži maksimalno vreme čuvanja, tokom kojeg vremena bilo koji  posredanpreparat kao što je  rastvor ili gotovi farmaceuti budu u saglasnosti  sa njegovim spec</w:t>
            </w:r>
            <w:r>
              <w:rPr>
                <w:rFonts w:ascii="Times New Roman" w:hAnsi="Times New Roman"/>
                <w:sz w:val="24"/>
                <w:szCs w:val="24"/>
                <w:lang w:val="sq-AL"/>
              </w:rPr>
              <w:t>ifičnostima.</w:t>
            </w:r>
          </w:p>
        </w:tc>
      </w:tr>
    </w:tbl>
    <w:p w:rsidR="004A5952" w:rsidRDefault="004A5952"/>
    <w:sectPr w:rsidR="004A5952" w:rsidSect="001E7796">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A6D"/>
    <w:multiLevelType w:val="hybridMultilevel"/>
    <w:tmpl w:val="8D3CCD4C"/>
    <w:lvl w:ilvl="0" w:tplc="6C20977E">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A1C90"/>
    <w:multiLevelType w:val="multilevel"/>
    <w:tmpl w:val="699E320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EB8242F"/>
    <w:multiLevelType w:val="multilevel"/>
    <w:tmpl w:val="6A2ECF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357508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F12518B"/>
    <w:multiLevelType w:val="hybridMultilevel"/>
    <w:tmpl w:val="2376EEA4"/>
    <w:lvl w:ilvl="0" w:tplc="C5888EDC">
      <w:start w:val="7"/>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E01E3"/>
    <w:multiLevelType w:val="multilevel"/>
    <w:tmpl w:val="76D2E13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60915DD1"/>
    <w:multiLevelType w:val="multilevel"/>
    <w:tmpl w:val="A95221CE"/>
    <w:lvl w:ilvl="0">
      <w:start w:val="1"/>
      <w:numFmt w:val="decimal"/>
      <w:lvlText w:val="%1."/>
      <w:lvlJc w:val="left"/>
      <w:pPr>
        <w:ind w:left="1080" w:hanging="360"/>
      </w:pPr>
      <w:rPr>
        <w:b/>
      </w:rPr>
    </w:lvl>
    <w:lvl w:ilvl="1">
      <w:start w:val="1"/>
      <w:numFmt w:val="decimal"/>
      <w:isLgl/>
      <w:lvlText w:val="%1.%2."/>
      <w:lvlJc w:val="left"/>
      <w:pPr>
        <w:ind w:left="1212" w:hanging="4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96" w:hanging="1800"/>
      </w:pPr>
      <w:rPr>
        <w:rFonts w:hint="default"/>
      </w:rPr>
    </w:lvl>
  </w:abstractNum>
  <w:abstractNum w:abstractNumId="7">
    <w:nsid w:val="633B1686"/>
    <w:multiLevelType w:val="hybridMultilevel"/>
    <w:tmpl w:val="1602C21E"/>
    <w:lvl w:ilvl="0" w:tplc="922C40BA">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2167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DF75A7"/>
    <w:multiLevelType w:val="multilevel"/>
    <w:tmpl w:val="5420D7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9"/>
  </w:num>
  <w:num w:numId="4">
    <w:abstractNumId w:val="7"/>
  </w:num>
  <w:num w:numId="5">
    <w:abstractNumId w:val="2"/>
  </w:num>
  <w:num w:numId="6">
    <w:abstractNumId w:val="0"/>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96"/>
    <w:rsid w:val="001E7796"/>
    <w:rsid w:val="004A5952"/>
    <w:rsid w:val="005376A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F905C-BFCC-4BB8-9A8A-D7D011F2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796"/>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7796"/>
    <w:pPr>
      <w:ind w:left="720"/>
      <w:contextualSpacing/>
    </w:pPr>
  </w:style>
  <w:style w:type="paragraph" w:customStyle="1" w:styleId="Default">
    <w:name w:val="Default"/>
    <w:uiPriority w:val="99"/>
    <w:rsid w:val="001E779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arianit jakupi</dc:creator>
  <cp:keywords/>
  <dc:description/>
  <cp:lastModifiedBy>arianit jakupi</cp:lastModifiedBy>
  <cp:revision>1</cp:revision>
  <dcterms:created xsi:type="dcterms:W3CDTF">2015-05-02T08:56:00Z</dcterms:created>
  <dcterms:modified xsi:type="dcterms:W3CDTF">2015-05-02T09:15:00Z</dcterms:modified>
</cp:coreProperties>
</file>